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97A7B" w14:textId="77777777" w:rsidR="000C6DA2" w:rsidRPr="0016479B" w:rsidRDefault="000C6DA2" w:rsidP="000C6DA2">
      <w:pPr>
        <w:jc w:val="both"/>
        <w:rPr>
          <w:b/>
          <w:color w:val="0070C0"/>
          <w:sz w:val="34"/>
          <w:szCs w:val="34"/>
        </w:rPr>
      </w:pPr>
      <w:r w:rsidRPr="008C523F">
        <w:rPr>
          <w:b/>
          <w:color w:val="0070C0"/>
          <w:sz w:val="34"/>
          <w:szCs w:val="34"/>
        </w:rPr>
        <w:t>Cena pronájmu zařízení jednotlivých</w:t>
      </w:r>
      <w:r>
        <w:rPr>
          <w:b/>
          <w:color w:val="0070C0"/>
          <w:sz w:val="34"/>
          <w:szCs w:val="34"/>
        </w:rPr>
        <w:t xml:space="preserve"> lokalit</w:t>
      </w:r>
    </w:p>
    <w:p w14:paraId="7A3CA10A" w14:textId="77777777" w:rsidR="000C6DA2" w:rsidRDefault="000C6DA2" w:rsidP="000C6DA2">
      <w:pPr>
        <w:pStyle w:val="Nadpis1"/>
        <w:ind w:left="425" w:hanging="425"/>
      </w:pPr>
      <w:r>
        <w:t>Cena nájmu a chráněné lokality</w:t>
      </w:r>
    </w:p>
    <w:p w14:paraId="02FAED1B" w14:textId="77777777" w:rsidR="000C6DA2" w:rsidRDefault="000C6DA2" w:rsidP="000C6DA2">
      <w:pPr>
        <w:jc w:val="both"/>
      </w:pPr>
      <w:r>
        <w:t>Dále uvedené ceny obsahují všechny náklady pronajímatele a odměnu pronajímatele za instalaci a provoz měřících zařízení v konkrétních lokalitách v rozsahu plnění daném smlouvou a jejími přílohami. Cena je uvedena jako měsíční v jednotkách Kč bez DPH.</w:t>
      </w:r>
    </w:p>
    <w:tbl>
      <w:tblPr>
        <w:tblStyle w:val="Mkatabulky"/>
        <w:tblW w:w="6232" w:type="dxa"/>
        <w:tblLayout w:type="fixed"/>
        <w:tblLook w:val="04A0" w:firstRow="1" w:lastRow="0" w:firstColumn="1" w:lastColumn="0" w:noHBand="0" w:noVBand="1"/>
      </w:tblPr>
      <w:tblGrid>
        <w:gridCol w:w="1555"/>
        <w:gridCol w:w="1559"/>
        <w:gridCol w:w="1559"/>
        <w:gridCol w:w="1559"/>
      </w:tblGrid>
      <w:tr w:rsidR="000C6DA2" w:rsidRPr="0096591B" w14:paraId="704E8A76" w14:textId="77777777" w:rsidTr="009F4ECD">
        <w:trPr>
          <w:trHeight w:val="288"/>
        </w:trPr>
        <w:tc>
          <w:tcPr>
            <w:tcW w:w="1555" w:type="dxa"/>
            <w:shd w:val="clear" w:color="auto" w:fill="F2F2F2" w:themeFill="background1" w:themeFillShade="F2"/>
          </w:tcPr>
          <w:p w14:paraId="6F66CAA5" w14:textId="77777777" w:rsidR="000C6DA2" w:rsidRPr="0096591B" w:rsidRDefault="000C6DA2" w:rsidP="009F4ECD">
            <w:pPr>
              <w:jc w:val="both"/>
              <w:rPr>
                <w:sz w:val="20"/>
              </w:rPr>
            </w:pPr>
            <w:r w:rsidRPr="0096591B">
              <w:rPr>
                <w:sz w:val="20"/>
              </w:rPr>
              <w:t>Lokalita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557911BB" w14:textId="77777777" w:rsidR="000C6DA2" w:rsidRPr="0096591B" w:rsidRDefault="000C6DA2" w:rsidP="009F4ECD">
            <w:pPr>
              <w:jc w:val="both"/>
              <w:rPr>
                <w:sz w:val="20"/>
              </w:rPr>
            </w:pPr>
            <w:r>
              <w:rPr>
                <w:sz w:val="20"/>
              </w:rPr>
              <w:t>Instalace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20AA122B" w14:textId="77777777" w:rsidR="000C6DA2" w:rsidRDefault="000C6DA2" w:rsidP="009F4ECD">
            <w:pPr>
              <w:jc w:val="both"/>
              <w:rPr>
                <w:sz w:val="20"/>
              </w:rPr>
            </w:pPr>
            <w:r>
              <w:rPr>
                <w:sz w:val="20"/>
              </w:rPr>
              <w:t>Provoz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3787D04A" w14:textId="77777777" w:rsidR="000C6DA2" w:rsidRDefault="000C6DA2" w:rsidP="009F4ECD">
            <w:pPr>
              <w:jc w:val="both"/>
              <w:rPr>
                <w:sz w:val="20"/>
              </w:rPr>
            </w:pPr>
            <w:r>
              <w:rPr>
                <w:sz w:val="20"/>
              </w:rPr>
              <w:t>Celkem</w:t>
            </w:r>
          </w:p>
        </w:tc>
      </w:tr>
      <w:tr w:rsidR="000C6DA2" w:rsidRPr="0096591B" w14:paraId="373CF61D" w14:textId="77777777" w:rsidTr="009F4ECD">
        <w:trPr>
          <w:trHeight w:val="420"/>
        </w:trPr>
        <w:tc>
          <w:tcPr>
            <w:tcW w:w="1555" w:type="dxa"/>
          </w:tcPr>
          <w:p w14:paraId="1022BA12" w14:textId="77777777" w:rsidR="000C6DA2" w:rsidRPr="0096591B" w:rsidRDefault="000C6DA2" w:rsidP="009F4ECD">
            <w:pPr>
              <w:spacing w:before="60"/>
              <w:jc w:val="both"/>
              <w:rPr>
                <w:sz w:val="20"/>
              </w:rPr>
            </w:pPr>
            <w:r>
              <w:rPr>
                <w:sz w:val="20"/>
              </w:rPr>
              <w:t>Tyršova</w:t>
            </w:r>
          </w:p>
        </w:tc>
        <w:tc>
          <w:tcPr>
            <w:tcW w:w="1559" w:type="dxa"/>
          </w:tcPr>
          <w:p w14:paraId="1F48F8EB" w14:textId="77777777" w:rsidR="000C6DA2" w:rsidRPr="0096591B" w:rsidRDefault="000C6DA2" w:rsidP="009F4ECD">
            <w:pPr>
              <w:spacing w:before="60"/>
              <w:jc w:val="both"/>
              <w:rPr>
                <w:sz w:val="20"/>
              </w:rPr>
            </w:pPr>
          </w:p>
        </w:tc>
        <w:tc>
          <w:tcPr>
            <w:tcW w:w="1559" w:type="dxa"/>
          </w:tcPr>
          <w:p w14:paraId="4D820193" w14:textId="77777777" w:rsidR="000C6DA2" w:rsidRPr="0096591B" w:rsidRDefault="000C6DA2" w:rsidP="009F4ECD">
            <w:pPr>
              <w:spacing w:before="60"/>
              <w:jc w:val="both"/>
              <w:rPr>
                <w:sz w:val="20"/>
              </w:rPr>
            </w:pPr>
          </w:p>
        </w:tc>
        <w:tc>
          <w:tcPr>
            <w:tcW w:w="1559" w:type="dxa"/>
          </w:tcPr>
          <w:p w14:paraId="0F8332B5" w14:textId="77777777" w:rsidR="000C6DA2" w:rsidRPr="0096591B" w:rsidRDefault="000C6DA2" w:rsidP="009F4ECD">
            <w:pPr>
              <w:spacing w:before="60"/>
              <w:jc w:val="both"/>
              <w:rPr>
                <w:sz w:val="20"/>
              </w:rPr>
            </w:pPr>
          </w:p>
        </w:tc>
      </w:tr>
      <w:tr w:rsidR="000C6DA2" w:rsidRPr="0096591B" w14:paraId="05F0E485" w14:textId="77777777" w:rsidTr="009F4ECD">
        <w:trPr>
          <w:trHeight w:val="412"/>
        </w:trPr>
        <w:tc>
          <w:tcPr>
            <w:tcW w:w="1555" w:type="dxa"/>
          </w:tcPr>
          <w:p w14:paraId="38BA7E64" w14:textId="77777777" w:rsidR="000C6DA2" w:rsidRPr="0096591B" w:rsidRDefault="000C6DA2" w:rsidP="009F4ECD">
            <w:pPr>
              <w:spacing w:before="60"/>
              <w:jc w:val="both"/>
              <w:rPr>
                <w:sz w:val="20"/>
              </w:rPr>
            </w:pPr>
            <w:r>
              <w:rPr>
                <w:sz w:val="20"/>
              </w:rPr>
              <w:t>Masarykova</w:t>
            </w:r>
          </w:p>
        </w:tc>
        <w:tc>
          <w:tcPr>
            <w:tcW w:w="1559" w:type="dxa"/>
          </w:tcPr>
          <w:p w14:paraId="658FA395" w14:textId="77777777" w:rsidR="000C6DA2" w:rsidRPr="0096591B" w:rsidRDefault="000C6DA2" w:rsidP="009F4ECD">
            <w:pPr>
              <w:spacing w:before="60"/>
              <w:jc w:val="both"/>
              <w:rPr>
                <w:sz w:val="20"/>
              </w:rPr>
            </w:pPr>
          </w:p>
        </w:tc>
        <w:tc>
          <w:tcPr>
            <w:tcW w:w="1559" w:type="dxa"/>
          </w:tcPr>
          <w:p w14:paraId="5283827D" w14:textId="77777777" w:rsidR="000C6DA2" w:rsidRPr="0096591B" w:rsidRDefault="000C6DA2" w:rsidP="009F4ECD">
            <w:pPr>
              <w:spacing w:before="60"/>
              <w:jc w:val="both"/>
              <w:rPr>
                <w:sz w:val="20"/>
              </w:rPr>
            </w:pPr>
          </w:p>
        </w:tc>
        <w:tc>
          <w:tcPr>
            <w:tcW w:w="1559" w:type="dxa"/>
          </w:tcPr>
          <w:p w14:paraId="1A31DCD0" w14:textId="77777777" w:rsidR="000C6DA2" w:rsidRPr="0096591B" w:rsidRDefault="000C6DA2" w:rsidP="009F4ECD">
            <w:pPr>
              <w:spacing w:before="60"/>
              <w:jc w:val="both"/>
              <w:rPr>
                <w:sz w:val="20"/>
              </w:rPr>
            </w:pPr>
          </w:p>
        </w:tc>
      </w:tr>
      <w:tr w:rsidR="000C6DA2" w:rsidRPr="0096591B" w14:paraId="65002173" w14:textId="77777777" w:rsidTr="009F4ECD">
        <w:trPr>
          <w:trHeight w:val="417"/>
        </w:trPr>
        <w:tc>
          <w:tcPr>
            <w:tcW w:w="1555" w:type="dxa"/>
          </w:tcPr>
          <w:p w14:paraId="057B6456" w14:textId="77777777" w:rsidR="000C6DA2" w:rsidRPr="0096591B" w:rsidRDefault="000C6DA2" w:rsidP="009F4ECD">
            <w:pPr>
              <w:spacing w:before="60"/>
              <w:jc w:val="both"/>
              <w:rPr>
                <w:sz w:val="20"/>
              </w:rPr>
            </w:pPr>
            <w:r>
              <w:rPr>
                <w:sz w:val="20"/>
              </w:rPr>
              <w:t>Klostermanova</w:t>
            </w:r>
          </w:p>
        </w:tc>
        <w:tc>
          <w:tcPr>
            <w:tcW w:w="1559" w:type="dxa"/>
          </w:tcPr>
          <w:p w14:paraId="69C4FC8C" w14:textId="77777777" w:rsidR="000C6DA2" w:rsidRPr="0096591B" w:rsidRDefault="000C6DA2" w:rsidP="009F4ECD">
            <w:pPr>
              <w:spacing w:before="60"/>
              <w:jc w:val="both"/>
              <w:rPr>
                <w:sz w:val="20"/>
              </w:rPr>
            </w:pPr>
          </w:p>
        </w:tc>
        <w:tc>
          <w:tcPr>
            <w:tcW w:w="1559" w:type="dxa"/>
          </w:tcPr>
          <w:p w14:paraId="451987BC" w14:textId="77777777" w:rsidR="000C6DA2" w:rsidRPr="0096591B" w:rsidRDefault="000C6DA2" w:rsidP="009F4ECD">
            <w:pPr>
              <w:spacing w:before="60"/>
              <w:jc w:val="both"/>
              <w:rPr>
                <w:sz w:val="20"/>
              </w:rPr>
            </w:pPr>
          </w:p>
        </w:tc>
        <w:tc>
          <w:tcPr>
            <w:tcW w:w="1559" w:type="dxa"/>
          </w:tcPr>
          <w:p w14:paraId="7F792151" w14:textId="77777777" w:rsidR="000C6DA2" w:rsidRPr="0096591B" w:rsidRDefault="000C6DA2" w:rsidP="009F4ECD">
            <w:pPr>
              <w:spacing w:before="60"/>
              <w:jc w:val="both"/>
              <w:rPr>
                <w:sz w:val="20"/>
              </w:rPr>
            </w:pPr>
          </w:p>
        </w:tc>
      </w:tr>
      <w:tr w:rsidR="000C6DA2" w:rsidRPr="0096591B" w14:paraId="2E87D4A3" w14:textId="77777777" w:rsidTr="009F4ECD">
        <w:trPr>
          <w:trHeight w:val="410"/>
        </w:trPr>
        <w:tc>
          <w:tcPr>
            <w:tcW w:w="1555" w:type="dxa"/>
          </w:tcPr>
          <w:p w14:paraId="511030E3" w14:textId="77777777" w:rsidR="000C6DA2" w:rsidRPr="0096591B" w:rsidRDefault="000C6DA2" w:rsidP="009F4ECD">
            <w:pPr>
              <w:spacing w:before="60"/>
              <w:jc w:val="both"/>
              <w:rPr>
                <w:sz w:val="20"/>
              </w:rPr>
            </w:pPr>
            <w:r>
              <w:rPr>
                <w:sz w:val="20"/>
              </w:rPr>
              <w:t>Pražská</w:t>
            </w:r>
          </w:p>
        </w:tc>
        <w:tc>
          <w:tcPr>
            <w:tcW w:w="1559" w:type="dxa"/>
          </w:tcPr>
          <w:p w14:paraId="753054D2" w14:textId="77777777" w:rsidR="000C6DA2" w:rsidRPr="0096591B" w:rsidRDefault="000C6DA2" w:rsidP="009F4ECD">
            <w:pPr>
              <w:spacing w:before="60"/>
              <w:jc w:val="both"/>
              <w:rPr>
                <w:sz w:val="20"/>
              </w:rPr>
            </w:pPr>
          </w:p>
        </w:tc>
        <w:tc>
          <w:tcPr>
            <w:tcW w:w="1559" w:type="dxa"/>
          </w:tcPr>
          <w:p w14:paraId="5A32ECC1" w14:textId="77777777" w:rsidR="000C6DA2" w:rsidRPr="0096591B" w:rsidRDefault="000C6DA2" w:rsidP="009F4ECD">
            <w:pPr>
              <w:spacing w:before="60"/>
              <w:jc w:val="both"/>
              <w:rPr>
                <w:sz w:val="20"/>
              </w:rPr>
            </w:pPr>
          </w:p>
        </w:tc>
        <w:tc>
          <w:tcPr>
            <w:tcW w:w="1559" w:type="dxa"/>
          </w:tcPr>
          <w:p w14:paraId="6EB19AAD" w14:textId="77777777" w:rsidR="000C6DA2" w:rsidRPr="0096591B" w:rsidRDefault="000C6DA2" w:rsidP="009F4ECD">
            <w:pPr>
              <w:spacing w:before="60"/>
              <w:jc w:val="both"/>
              <w:rPr>
                <w:sz w:val="20"/>
              </w:rPr>
            </w:pPr>
          </w:p>
        </w:tc>
      </w:tr>
      <w:tr w:rsidR="000C6DA2" w:rsidRPr="0096591B" w14:paraId="0E5E32AC" w14:textId="77777777" w:rsidTr="009F4ECD">
        <w:trPr>
          <w:trHeight w:val="410"/>
        </w:trPr>
        <w:tc>
          <w:tcPr>
            <w:tcW w:w="4673" w:type="dxa"/>
            <w:gridSpan w:val="3"/>
          </w:tcPr>
          <w:p w14:paraId="2BF5395F" w14:textId="77777777" w:rsidR="000C6DA2" w:rsidRPr="0096591B" w:rsidRDefault="000C6DA2" w:rsidP="009F4ECD">
            <w:pPr>
              <w:spacing w:before="60"/>
              <w:jc w:val="both"/>
              <w:rPr>
                <w:sz w:val="20"/>
              </w:rPr>
            </w:pPr>
            <w:r>
              <w:rPr>
                <w:sz w:val="20"/>
              </w:rPr>
              <w:t>Celková cena bez DPH</w:t>
            </w:r>
          </w:p>
        </w:tc>
        <w:tc>
          <w:tcPr>
            <w:tcW w:w="1559" w:type="dxa"/>
          </w:tcPr>
          <w:p w14:paraId="79A6C847" w14:textId="77777777" w:rsidR="000C6DA2" w:rsidRPr="0096591B" w:rsidRDefault="000C6DA2" w:rsidP="009F4ECD">
            <w:pPr>
              <w:spacing w:before="60"/>
              <w:jc w:val="both"/>
              <w:rPr>
                <w:sz w:val="20"/>
              </w:rPr>
            </w:pPr>
          </w:p>
        </w:tc>
      </w:tr>
    </w:tbl>
    <w:p w14:paraId="4ECAB318" w14:textId="77777777" w:rsidR="000C6DA2" w:rsidRDefault="000C6DA2" w:rsidP="000C6DA2">
      <w:pPr>
        <w:spacing w:before="240"/>
        <w:jc w:val="both"/>
      </w:pPr>
      <w:bookmarkStart w:id="0" w:name="_Hlk84333172"/>
      <w:bookmarkStart w:id="1" w:name="_Hlk84335774"/>
      <w:r>
        <w:t>Cena je rozdělena dle lokalit. Rozpad na lokality může být využit při změnách smluvního vztahu návazně na ujednání smlouvy v článku 9. Cenové a platební podmínky, bod 6.</w:t>
      </w:r>
    </w:p>
    <w:p w14:paraId="51458BEA" w14:textId="77777777" w:rsidR="000C6DA2" w:rsidRDefault="000C6DA2" w:rsidP="000C6DA2">
      <w:pPr>
        <w:jc w:val="both"/>
      </w:pPr>
    </w:p>
    <w:p w14:paraId="741574EF" w14:textId="77777777" w:rsidR="000C6DA2" w:rsidRDefault="000C6DA2" w:rsidP="000C6DA2">
      <w:pPr>
        <w:pStyle w:val="Nadpis1"/>
      </w:pPr>
      <w:r>
        <w:t>Cena nájmu za obecný typ zařízení</w:t>
      </w:r>
    </w:p>
    <w:p w14:paraId="7633E85C" w14:textId="77777777" w:rsidR="000C6DA2" w:rsidRDefault="000C6DA2" w:rsidP="000C6DA2">
      <w:pPr>
        <w:jc w:val="both"/>
      </w:pPr>
      <w:r>
        <w:t>Dále uvedené ceny obsahují výhradně náklady spojené s instalací, pronájmem a provozem uvedených typů měřících zařízení při shodných parametrech provozu a specifikacích jako pro shora uvedené lokality, včetně SLA parametrů a za podmínek definovaných touto smlouvou. Pro určení ceny se počítá s existencí přípojky el. proudu s napájením v nočních hodinách a sloupem umožňujícím instalaci měřících zařízení v moci nájemce (veřejné osvětlení) v místě instalace měření.</w:t>
      </w:r>
      <w:r w:rsidRPr="000F195A">
        <w:t xml:space="preserve"> </w:t>
      </w:r>
      <w:r>
        <w:t>Cena je uvedena jako měsíční v jednotkách Kč bez DPH.</w:t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2830"/>
        <w:gridCol w:w="1985"/>
        <w:gridCol w:w="2126"/>
        <w:gridCol w:w="2126"/>
      </w:tblGrid>
      <w:tr w:rsidR="000C6DA2" w14:paraId="0A34C43E" w14:textId="77777777" w:rsidTr="009F4ECD">
        <w:tc>
          <w:tcPr>
            <w:tcW w:w="2830" w:type="dxa"/>
            <w:shd w:val="clear" w:color="auto" w:fill="F2F2F2" w:themeFill="background1" w:themeFillShade="F2"/>
          </w:tcPr>
          <w:p w14:paraId="40661539" w14:textId="77777777" w:rsidR="000C6DA2" w:rsidRPr="000F195A" w:rsidRDefault="000C6DA2" w:rsidP="009F4ECD">
            <w:pPr>
              <w:jc w:val="both"/>
              <w:rPr>
                <w:sz w:val="20"/>
              </w:rPr>
            </w:pPr>
            <w:r>
              <w:rPr>
                <w:sz w:val="20"/>
              </w:rPr>
              <w:t>Typ měření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2748F2AA" w14:textId="77777777" w:rsidR="000C6DA2" w:rsidRPr="000F195A" w:rsidRDefault="000C6DA2" w:rsidP="009F4ECD">
            <w:pPr>
              <w:jc w:val="both"/>
              <w:rPr>
                <w:sz w:val="20"/>
              </w:rPr>
            </w:pPr>
            <w:r>
              <w:rPr>
                <w:sz w:val="20"/>
              </w:rPr>
              <w:t>Počet jízdních pruhů jedním směrem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4923E1F" w14:textId="77777777" w:rsidR="000C6DA2" w:rsidRPr="000F195A" w:rsidRDefault="000C6DA2" w:rsidP="009F4ECD">
            <w:pPr>
              <w:jc w:val="both"/>
              <w:rPr>
                <w:sz w:val="20"/>
              </w:rPr>
            </w:pPr>
            <w:r>
              <w:rPr>
                <w:sz w:val="20"/>
              </w:rPr>
              <w:t>Cena pro jednosměrné měření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69660759" w14:textId="77777777" w:rsidR="000C6DA2" w:rsidRPr="000F195A" w:rsidRDefault="000C6DA2" w:rsidP="009F4ECD">
            <w:pPr>
              <w:jc w:val="both"/>
              <w:rPr>
                <w:sz w:val="20"/>
              </w:rPr>
            </w:pPr>
            <w:r>
              <w:rPr>
                <w:sz w:val="20"/>
              </w:rPr>
              <w:t>Cena pro obousměrné měření</w:t>
            </w:r>
          </w:p>
        </w:tc>
      </w:tr>
      <w:tr w:rsidR="000C6DA2" w14:paraId="25DF2C6C" w14:textId="77777777" w:rsidTr="009F4ECD">
        <w:tc>
          <w:tcPr>
            <w:tcW w:w="2830" w:type="dxa"/>
          </w:tcPr>
          <w:p w14:paraId="25592902" w14:textId="77777777" w:rsidR="000C6DA2" w:rsidRPr="000F195A" w:rsidRDefault="000C6DA2" w:rsidP="009F4ECD">
            <w:pPr>
              <w:spacing w:before="60"/>
              <w:jc w:val="both"/>
              <w:rPr>
                <w:sz w:val="20"/>
              </w:rPr>
            </w:pPr>
            <w:r>
              <w:rPr>
                <w:sz w:val="20"/>
              </w:rPr>
              <w:t>MUR + IMR</w:t>
            </w:r>
          </w:p>
        </w:tc>
        <w:tc>
          <w:tcPr>
            <w:tcW w:w="1985" w:type="dxa"/>
          </w:tcPr>
          <w:p w14:paraId="68870B30" w14:textId="77777777" w:rsidR="000C6DA2" w:rsidRPr="000F195A" w:rsidRDefault="000C6DA2" w:rsidP="009F4ECD">
            <w:pPr>
              <w:spacing w:before="60"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126" w:type="dxa"/>
          </w:tcPr>
          <w:p w14:paraId="1FC52BFF" w14:textId="77777777" w:rsidR="000C6DA2" w:rsidRPr="000F195A" w:rsidRDefault="000C6DA2" w:rsidP="009F4ECD">
            <w:pPr>
              <w:spacing w:before="60"/>
              <w:jc w:val="both"/>
              <w:rPr>
                <w:sz w:val="20"/>
              </w:rPr>
            </w:pPr>
          </w:p>
        </w:tc>
        <w:tc>
          <w:tcPr>
            <w:tcW w:w="2126" w:type="dxa"/>
          </w:tcPr>
          <w:p w14:paraId="6A359D44" w14:textId="77777777" w:rsidR="000C6DA2" w:rsidRPr="000F195A" w:rsidRDefault="000C6DA2" w:rsidP="009F4ECD">
            <w:pPr>
              <w:spacing w:before="60"/>
              <w:jc w:val="both"/>
              <w:rPr>
                <w:sz w:val="20"/>
              </w:rPr>
            </w:pPr>
          </w:p>
        </w:tc>
      </w:tr>
      <w:tr w:rsidR="000C6DA2" w14:paraId="259A4F85" w14:textId="77777777" w:rsidTr="009F4ECD">
        <w:tc>
          <w:tcPr>
            <w:tcW w:w="2830" w:type="dxa"/>
          </w:tcPr>
          <w:p w14:paraId="7DB7E23A" w14:textId="77777777" w:rsidR="000C6DA2" w:rsidRPr="000F195A" w:rsidRDefault="000C6DA2" w:rsidP="009F4ECD">
            <w:pPr>
              <w:spacing w:before="60"/>
              <w:jc w:val="both"/>
              <w:rPr>
                <w:sz w:val="20"/>
              </w:rPr>
            </w:pPr>
            <w:r>
              <w:rPr>
                <w:sz w:val="20"/>
              </w:rPr>
              <w:t>MUR + IMR</w:t>
            </w:r>
          </w:p>
        </w:tc>
        <w:tc>
          <w:tcPr>
            <w:tcW w:w="1985" w:type="dxa"/>
          </w:tcPr>
          <w:p w14:paraId="126ED7B7" w14:textId="77777777" w:rsidR="000C6DA2" w:rsidRPr="000F195A" w:rsidRDefault="000C6DA2" w:rsidP="009F4ECD">
            <w:pPr>
              <w:spacing w:before="60"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126" w:type="dxa"/>
          </w:tcPr>
          <w:p w14:paraId="415638B5" w14:textId="77777777" w:rsidR="000C6DA2" w:rsidRPr="000F195A" w:rsidRDefault="000C6DA2" w:rsidP="009F4ECD">
            <w:pPr>
              <w:spacing w:before="60"/>
              <w:jc w:val="both"/>
              <w:rPr>
                <w:sz w:val="20"/>
              </w:rPr>
            </w:pPr>
          </w:p>
        </w:tc>
        <w:tc>
          <w:tcPr>
            <w:tcW w:w="2126" w:type="dxa"/>
          </w:tcPr>
          <w:p w14:paraId="23CA5E8F" w14:textId="77777777" w:rsidR="000C6DA2" w:rsidRPr="000F195A" w:rsidRDefault="000C6DA2" w:rsidP="009F4ECD">
            <w:pPr>
              <w:spacing w:before="60"/>
              <w:jc w:val="both"/>
              <w:rPr>
                <w:sz w:val="20"/>
              </w:rPr>
            </w:pPr>
          </w:p>
        </w:tc>
      </w:tr>
      <w:tr w:rsidR="000C6DA2" w14:paraId="3DDE5AE3" w14:textId="77777777" w:rsidTr="009F4ECD">
        <w:tc>
          <w:tcPr>
            <w:tcW w:w="2830" w:type="dxa"/>
          </w:tcPr>
          <w:p w14:paraId="2BE9644E" w14:textId="77777777" w:rsidR="000C6DA2" w:rsidRDefault="000C6DA2" w:rsidP="009F4ECD">
            <w:pPr>
              <w:spacing w:before="60"/>
              <w:jc w:val="both"/>
              <w:rPr>
                <w:sz w:val="20"/>
              </w:rPr>
            </w:pPr>
            <w:r>
              <w:rPr>
                <w:sz w:val="20"/>
              </w:rPr>
              <w:t>MOR + IMR</w:t>
            </w:r>
          </w:p>
        </w:tc>
        <w:tc>
          <w:tcPr>
            <w:tcW w:w="1985" w:type="dxa"/>
          </w:tcPr>
          <w:p w14:paraId="33B9C6A6" w14:textId="77777777" w:rsidR="000C6DA2" w:rsidRDefault="000C6DA2" w:rsidP="009F4ECD">
            <w:pPr>
              <w:spacing w:before="60"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126" w:type="dxa"/>
          </w:tcPr>
          <w:p w14:paraId="79069EA0" w14:textId="77777777" w:rsidR="000C6DA2" w:rsidRDefault="000C6DA2" w:rsidP="009F4ECD">
            <w:pPr>
              <w:spacing w:before="60"/>
              <w:jc w:val="both"/>
              <w:rPr>
                <w:sz w:val="20"/>
              </w:rPr>
            </w:pPr>
          </w:p>
        </w:tc>
        <w:tc>
          <w:tcPr>
            <w:tcW w:w="2126" w:type="dxa"/>
          </w:tcPr>
          <w:p w14:paraId="0E00558A" w14:textId="77777777" w:rsidR="000C6DA2" w:rsidRDefault="000C6DA2" w:rsidP="009F4ECD">
            <w:pPr>
              <w:spacing w:before="60"/>
              <w:jc w:val="both"/>
              <w:rPr>
                <w:sz w:val="20"/>
              </w:rPr>
            </w:pPr>
          </w:p>
        </w:tc>
      </w:tr>
      <w:tr w:rsidR="000C6DA2" w14:paraId="607EDD1D" w14:textId="77777777" w:rsidTr="009F4ECD">
        <w:tc>
          <w:tcPr>
            <w:tcW w:w="2830" w:type="dxa"/>
          </w:tcPr>
          <w:p w14:paraId="16518272" w14:textId="77777777" w:rsidR="000C6DA2" w:rsidRDefault="000C6DA2" w:rsidP="009F4ECD">
            <w:pPr>
              <w:spacing w:before="60"/>
              <w:jc w:val="both"/>
              <w:rPr>
                <w:sz w:val="20"/>
              </w:rPr>
            </w:pPr>
            <w:r>
              <w:rPr>
                <w:sz w:val="20"/>
              </w:rPr>
              <w:t>MOR + IMR</w:t>
            </w:r>
          </w:p>
        </w:tc>
        <w:tc>
          <w:tcPr>
            <w:tcW w:w="1985" w:type="dxa"/>
          </w:tcPr>
          <w:p w14:paraId="500609EF" w14:textId="77777777" w:rsidR="000C6DA2" w:rsidRDefault="000C6DA2" w:rsidP="009F4ECD">
            <w:pPr>
              <w:spacing w:before="60"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126" w:type="dxa"/>
          </w:tcPr>
          <w:p w14:paraId="12B7EA59" w14:textId="77777777" w:rsidR="000C6DA2" w:rsidRDefault="000C6DA2" w:rsidP="009F4ECD">
            <w:pPr>
              <w:spacing w:before="60"/>
              <w:jc w:val="both"/>
              <w:rPr>
                <w:sz w:val="20"/>
              </w:rPr>
            </w:pPr>
          </w:p>
        </w:tc>
        <w:tc>
          <w:tcPr>
            <w:tcW w:w="2126" w:type="dxa"/>
          </w:tcPr>
          <w:p w14:paraId="34A6079D" w14:textId="77777777" w:rsidR="000C6DA2" w:rsidRDefault="000C6DA2" w:rsidP="009F4ECD">
            <w:pPr>
              <w:spacing w:before="60"/>
              <w:jc w:val="both"/>
              <w:rPr>
                <w:sz w:val="20"/>
              </w:rPr>
            </w:pPr>
          </w:p>
        </w:tc>
      </w:tr>
      <w:tr w:rsidR="000C6DA2" w14:paraId="63A356CF" w14:textId="77777777" w:rsidTr="009F4ECD">
        <w:tc>
          <w:tcPr>
            <w:tcW w:w="2830" w:type="dxa"/>
          </w:tcPr>
          <w:p w14:paraId="7DF57B85" w14:textId="77777777" w:rsidR="000C6DA2" w:rsidRDefault="000C6DA2" w:rsidP="009F4ECD">
            <w:pPr>
              <w:spacing w:before="60"/>
              <w:jc w:val="both"/>
              <w:rPr>
                <w:sz w:val="20"/>
              </w:rPr>
            </w:pPr>
            <w:r>
              <w:rPr>
                <w:sz w:val="20"/>
              </w:rPr>
              <w:t>MUR + MOR + IMR</w:t>
            </w:r>
          </w:p>
        </w:tc>
        <w:tc>
          <w:tcPr>
            <w:tcW w:w="1985" w:type="dxa"/>
          </w:tcPr>
          <w:p w14:paraId="4D90A34A" w14:textId="77777777" w:rsidR="000C6DA2" w:rsidRDefault="000C6DA2" w:rsidP="009F4ECD">
            <w:pPr>
              <w:spacing w:before="60"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126" w:type="dxa"/>
          </w:tcPr>
          <w:p w14:paraId="40D51F08" w14:textId="77777777" w:rsidR="000C6DA2" w:rsidRDefault="000C6DA2" w:rsidP="009F4ECD">
            <w:pPr>
              <w:spacing w:before="60"/>
              <w:jc w:val="both"/>
              <w:rPr>
                <w:sz w:val="20"/>
              </w:rPr>
            </w:pPr>
          </w:p>
        </w:tc>
        <w:tc>
          <w:tcPr>
            <w:tcW w:w="2126" w:type="dxa"/>
          </w:tcPr>
          <w:p w14:paraId="4B1444E1" w14:textId="77777777" w:rsidR="000C6DA2" w:rsidRDefault="000C6DA2" w:rsidP="009F4ECD">
            <w:pPr>
              <w:spacing w:before="60"/>
              <w:jc w:val="both"/>
              <w:rPr>
                <w:sz w:val="20"/>
              </w:rPr>
            </w:pPr>
          </w:p>
        </w:tc>
      </w:tr>
      <w:tr w:rsidR="000C6DA2" w14:paraId="6D19EB3E" w14:textId="77777777" w:rsidTr="009F4ECD">
        <w:tc>
          <w:tcPr>
            <w:tcW w:w="2830" w:type="dxa"/>
          </w:tcPr>
          <w:p w14:paraId="0C4632B2" w14:textId="77777777" w:rsidR="000C6DA2" w:rsidRDefault="000C6DA2" w:rsidP="009F4ECD">
            <w:pPr>
              <w:spacing w:before="60"/>
              <w:jc w:val="both"/>
              <w:rPr>
                <w:sz w:val="20"/>
              </w:rPr>
            </w:pPr>
            <w:r>
              <w:rPr>
                <w:sz w:val="20"/>
              </w:rPr>
              <w:t>MUR + MOR + IMR</w:t>
            </w:r>
          </w:p>
        </w:tc>
        <w:tc>
          <w:tcPr>
            <w:tcW w:w="1985" w:type="dxa"/>
          </w:tcPr>
          <w:p w14:paraId="7C1394ED" w14:textId="77777777" w:rsidR="000C6DA2" w:rsidRDefault="000C6DA2" w:rsidP="009F4ECD">
            <w:pPr>
              <w:spacing w:before="60"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126" w:type="dxa"/>
          </w:tcPr>
          <w:p w14:paraId="16454621" w14:textId="77777777" w:rsidR="000C6DA2" w:rsidRDefault="000C6DA2" w:rsidP="009F4ECD">
            <w:pPr>
              <w:spacing w:before="60"/>
              <w:jc w:val="both"/>
              <w:rPr>
                <w:sz w:val="20"/>
              </w:rPr>
            </w:pPr>
          </w:p>
        </w:tc>
        <w:tc>
          <w:tcPr>
            <w:tcW w:w="2126" w:type="dxa"/>
          </w:tcPr>
          <w:p w14:paraId="7AA0278B" w14:textId="77777777" w:rsidR="000C6DA2" w:rsidRDefault="000C6DA2" w:rsidP="009F4ECD">
            <w:pPr>
              <w:spacing w:before="60"/>
              <w:jc w:val="both"/>
              <w:rPr>
                <w:sz w:val="20"/>
              </w:rPr>
            </w:pPr>
          </w:p>
        </w:tc>
      </w:tr>
    </w:tbl>
    <w:p w14:paraId="16628B28" w14:textId="77777777" w:rsidR="000C6DA2" w:rsidRDefault="000C6DA2" w:rsidP="000C6DA2">
      <w:pPr>
        <w:spacing w:before="240" w:after="0"/>
        <w:jc w:val="both"/>
      </w:pPr>
      <w:r>
        <w:t>MUR = měření úsekové rychlosti</w:t>
      </w:r>
    </w:p>
    <w:p w14:paraId="5D814B15" w14:textId="77777777" w:rsidR="000C6DA2" w:rsidRDefault="000C6DA2" w:rsidP="000C6DA2">
      <w:pPr>
        <w:spacing w:after="0"/>
        <w:jc w:val="both"/>
      </w:pPr>
      <w:r>
        <w:t>MOR = měření okamžité rychlosti (jedná-li se o kombinaci MUR a MOR, je měření MOR chápáno ve směru do chráněné lokality)</w:t>
      </w:r>
    </w:p>
    <w:p w14:paraId="442A3E65" w14:textId="77777777" w:rsidR="000C6DA2" w:rsidRDefault="000C6DA2" w:rsidP="000C6DA2">
      <w:pPr>
        <w:spacing w:after="0"/>
        <w:jc w:val="both"/>
      </w:pPr>
      <w:r>
        <w:lastRenderedPageBreak/>
        <w:t>IMR = indikativní měření rychlosti (pro indikativní měření rychlosti platí, že jako součást MUR a MUR + MOR jde o měření jen ve směru do chráněné lokality bez ohledu na požadavek jednosměrného či obousměrného měření pro MUR či MUR + MOR)</w:t>
      </w:r>
      <w:bookmarkEnd w:id="0"/>
      <w:bookmarkEnd w:id="1"/>
    </w:p>
    <w:p w14:paraId="23A87366" w14:textId="77777777" w:rsidR="000C6DA2" w:rsidRDefault="000C6DA2" w:rsidP="000C6DA2">
      <w:pPr>
        <w:spacing w:before="240"/>
        <w:jc w:val="both"/>
      </w:pPr>
      <w:r>
        <w:t>Cena je rozdělena dle typů lokalit a měření v lokalitách. Rozpad dle typů lokalit a měření v lokalitách může být využit při změnách smluvního vztahu návazně na ujednání smlouvy v článku 9. Cenové a platební podmínky, bod 7.</w:t>
      </w:r>
    </w:p>
    <w:p w14:paraId="1C02394E" w14:textId="77777777" w:rsidR="000C6DA2" w:rsidRDefault="000C6DA2"/>
    <w:sectPr w:rsidR="000C6D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86431"/>
    <w:multiLevelType w:val="multilevel"/>
    <w:tmpl w:val="945029C0"/>
    <w:lvl w:ilvl="0">
      <w:start w:val="1"/>
      <w:numFmt w:val="decimal"/>
      <w:pStyle w:val="Nadpis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DA2"/>
    <w:rsid w:val="000C6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D39D675"/>
  <w15:chartTrackingRefBased/>
  <w15:docId w15:val="{40EC5FA1-A488-A34D-B57B-6034F8E3D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C6DA2"/>
    <w:pPr>
      <w:spacing w:after="160" w:line="259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0C6DA2"/>
    <w:pPr>
      <w:keepNext/>
      <w:keepLines/>
      <w:numPr>
        <w:numId w:val="1"/>
      </w:numPr>
      <w:spacing w:before="240" w:after="0"/>
      <w:ind w:left="426" w:hanging="426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C6DA2"/>
    <w:pPr>
      <w:keepNext/>
      <w:keepLines/>
      <w:numPr>
        <w:ilvl w:val="1"/>
        <w:numId w:val="1"/>
      </w:numPr>
      <w:spacing w:before="40" w:after="0"/>
      <w:ind w:left="426" w:hanging="426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C6DA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0C6DA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Mkatabulky">
    <w:name w:val="Table Grid"/>
    <w:basedOn w:val="Normlntabulka"/>
    <w:uiPriority w:val="39"/>
    <w:rsid w:val="000C6DA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287</Words>
  <Characters>1696</Characters>
  <Application>Microsoft Office Word</Application>
  <DocSecurity>0</DocSecurity>
  <Lines>14</Lines>
  <Paragraphs>3</Paragraphs>
  <ScaleCrop>false</ScaleCrop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Mirek Javornicky</dc:creator>
  <cp:keywords/>
  <dc:description/>
  <cp:lastModifiedBy>Mirek Javornicky</cp:lastModifiedBy>
  <cp:revision>1</cp:revision>
  <dcterms:created xsi:type="dcterms:W3CDTF">2021-11-12T19:47:00Z</dcterms:created>
  <dcterms:modified xsi:type="dcterms:W3CDTF">2021-11-12T19:47:00Z</dcterms:modified>
</cp:coreProperties>
</file>